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455DBC" w:rsidP="00CD285C">
      <w:pPr>
        <w:pStyle w:val="Sinespaciado"/>
      </w:pPr>
    </w:p>
    <w:p w:rsidR="00455DBC" w:rsidRDefault="00CD285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noProof/>
          <w:lang w:eastAsia="es-ES"/>
        </w:rPr>
        <w:drawing>
          <wp:anchor distT="0" distB="0" distL="114935" distR="114935" simplePos="0" relativeHeight="251659264" behindDoc="0" locked="0" layoutInCell="1" allowOverlap="1" wp14:anchorId="2A7216EE" wp14:editId="75E675B6">
            <wp:simplePos x="0" y="0"/>
            <wp:positionH relativeFrom="column">
              <wp:posOffset>4724400</wp:posOffset>
            </wp:positionH>
            <wp:positionV relativeFrom="paragraph">
              <wp:posOffset>30480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152400" distB="152400" distL="152400" distR="152400" simplePos="0" relativeHeight="251658240" behindDoc="0" locked="0" layoutInCell="1" allowOverlap="1" wp14:anchorId="3D594721" wp14:editId="250A817A">
            <wp:simplePos x="0" y="0"/>
            <wp:positionH relativeFrom="margin">
              <wp:posOffset>22225</wp:posOffset>
            </wp:positionH>
            <wp:positionV relativeFrom="page">
              <wp:posOffset>798830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46D01" w:rsidRDefault="00B46D01" w:rsidP="00B46D01">
      <w:pPr>
        <w:pStyle w:val="Cuerpo"/>
        <w:spacing w:line="276" w:lineRule="auto"/>
        <w:jc w:val="both"/>
        <w:rPr>
          <w:rFonts w:ascii="CIDFont+F3" w:eastAsiaTheme="minorHAnsi" w:hAnsi="CIDFont+F3" w:cs="CIDFont+F3"/>
          <w:color w:val="222222"/>
          <w:kern w:val="0"/>
          <w:sz w:val="24"/>
          <w:szCs w:val="24"/>
          <w:lang w:eastAsia="en-US"/>
        </w:rPr>
      </w:pPr>
    </w:p>
    <w:p w:rsidR="00CD285C" w:rsidRPr="0000018D" w:rsidRDefault="00CD285C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D3B60" w:rsidRDefault="00B63E67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4E1F8B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 MARÍA DOLORES RUIZ ÁLVAREZ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DD3B60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D285C">
        <w:rPr>
          <w:rFonts w:ascii="Arial" w:hAnsi="Arial" w:cs="Arial"/>
          <w:b/>
          <w:color w:val="auto"/>
          <w:sz w:val="24"/>
          <w:szCs w:val="24"/>
        </w:rPr>
        <w:t>SOBRE `CASTILLO DE SAN JULIÁ</w:t>
      </w:r>
      <w:r w:rsidR="002C36FF">
        <w:rPr>
          <w:rFonts w:ascii="Arial" w:hAnsi="Arial" w:cs="Arial"/>
          <w:b/>
          <w:color w:val="auto"/>
          <w:sz w:val="24"/>
          <w:szCs w:val="24"/>
        </w:rPr>
        <w:t>N</w:t>
      </w:r>
      <w:r w:rsidR="00CD285C">
        <w:rPr>
          <w:rFonts w:ascii="Arial" w:hAnsi="Arial" w:cs="Arial"/>
          <w:b/>
          <w:color w:val="auto"/>
          <w:sz w:val="24"/>
          <w:szCs w:val="24"/>
        </w:rPr>
        <w:t>´</w:t>
      </w:r>
    </w:p>
    <w:p w:rsidR="002C36FF" w:rsidRDefault="002C36FF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2C36FF" w:rsidRPr="002C36FF" w:rsidRDefault="007C5F47" w:rsidP="002C36FF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El Castillo de San Julián</w:t>
      </w:r>
      <w:r w:rsidR="002C36FF" w:rsidRPr="002C36FF">
        <w:rPr>
          <w:rFonts w:ascii="Arial" w:hAnsi="Arial" w:cs="Arial"/>
          <w:color w:val="auto"/>
          <w:sz w:val="24"/>
          <w:szCs w:val="24"/>
        </w:rPr>
        <w:t xml:space="preserve"> fue declarado BIC con la categoría</w:t>
      </w:r>
      <w:r w:rsidR="002C36FF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de monumento el día 7 de agosto de 1997 con el código RI 51-0010003.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En 2016 ya fue denunciado su estado de conservación por la Asociación Daphne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2C36FF" w:rsidRPr="002C36FF">
        <w:rPr>
          <w:rFonts w:ascii="Arial" w:hAnsi="Arial" w:cs="Arial"/>
          <w:color w:val="auto"/>
          <w:sz w:val="24"/>
          <w:szCs w:val="24"/>
        </w:rPr>
        <w:t xml:space="preserve"> adjuntando</w:t>
      </w:r>
      <w:r w:rsidR="002C36FF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fotografías de las grietas y maleza en sus estructuras.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En septiembre de 2020 su situación empeoró considerablemente como consecuencia del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incumplimiento por parte de su propietario, Telefónica Móviles, S.A. de sus obligaciones en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cuanto a la vigilancia y conservación del monumento. Una denuncia y la posterior inspección</w:t>
      </w:r>
      <w:r w:rsidR="002C36FF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dieron lugar a que el muro ubicado a la izquierda de la entrada del monumento fuera</w:t>
      </w:r>
      <w:r w:rsidR="002C36FF">
        <w:rPr>
          <w:rFonts w:ascii="Arial" w:hAnsi="Arial" w:cs="Arial"/>
          <w:color w:val="auto"/>
          <w:sz w:val="24"/>
          <w:szCs w:val="24"/>
        </w:rPr>
        <w:t xml:space="preserve"> </w:t>
      </w:r>
      <w:r w:rsidR="002C36FF" w:rsidRPr="002C36FF">
        <w:rPr>
          <w:rFonts w:ascii="Arial" w:hAnsi="Arial" w:cs="Arial"/>
          <w:color w:val="auto"/>
          <w:sz w:val="24"/>
          <w:szCs w:val="24"/>
        </w:rPr>
        <w:t>apuntalado.</w:t>
      </w:r>
    </w:p>
    <w:p w:rsidR="00CD285C" w:rsidRDefault="00CD285C" w:rsidP="002C36FF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2C36FF" w:rsidRPr="002C36FF" w:rsidRDefault="002C36FF" w:rsidP="002C36FF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2C36FF">
        <w:rPr>
          <w:rFonts w:ascii="Arial" w:hAnsi="Arial" w:cs="Arial"/>
          <w:color w:val="auto"/>
          <w:sz w:val="24"/>
          <w:szCs w:val="24"/>
        </w:rPr>
        <w:t>Llegados a enero de 2024, el muro ubicado a la derecha en la entrada del castillo</w:t>
      </w:r>
      <w:r w:rsidR="007C5F47">
        <w:rPr>
          <w:rFonts w:ascii="Arial" w:hAnsi="Arial" w:cs="Arial"/>
          <w:color w:val="auto"/>
          <w:sz w:val="24"/>
          <w:szCs w:val="24"/>
        </w:rPr>
        <w:t>,</w:t>
      </w:r>
      <w:r w:rsidRPr="002C36FF">
        <w:rPr>
          <w:rFonts w:ascii="Arial" w:hAnsi="Arial" w:cs="Arial"/>
          <w:color w:val="auto"/>
          <w:sz w:val="24"/>
          <w:szCs w:val="24"/>
        </w:rPr>
        <w:t xml:space="preserve"> en el cual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fueron colocados testigos con la finalidad de estudiar y cont</w:t>
      </w:r>
      <w:r w:rsidR="00CD285C">
        <w:rPr>
          <w:rFonts w:ascii="Arial" w:hAnsi="Arial" w:cs="Arial"/>
          <w:color w:val="auto"/>
          <w:sz w:val="24"/>
          <w:szCs w:val="24"/>
        </w:rPr>
        <w:t xml:space="preserve">rolar la evolución de la grieta </w:t>
      </w:r>
      <w:r w:rsidRPr="002C36FF">
        <w:rPr>
          <w:rFonts w:ascii="Arial" w:hAnsi="Arial" w:cs="Arial"/>
          <w:color w:val="auto"/>
          <w:sz w:val="24"/>
          <w:szCs w:val="24"/>
        </w:rPr>
        <w:t>que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atraviesa el mismo</w:t>
      </w:r>
      <w:r w:rsidR="007C5F47">
        <w:rPr>
          <w:rFonts w:ascii="Arial" w:hAnsi="Arial" w:cs="Arial"/>
          <w:color w:val="auto"/>
          <w:sz w:val="24"/>
          <w:szCs w:val="24"/>
        </w:rPr>
        <w:t>,</w:t>
      </w:r>
      <w:r w:rsidRPr="002C36FF">
        <w:rPr>
          <w:rFonts w:ascii="Arial" w:hAnsi="Arial" w:cs="Arial"/>
          <w:color w:val="auto"/>
          <w:sz w:val="24"/>
          <w:szCs w:val="24"/>
        </w:rPr>
        <w:t xml:space="preserve"> alerta de un nuevo riesgo para la estabilidad del monumento. De los tres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testigos colocados</w:t>
      </w:r>
      <w:r w:rsidR="007C5F47">
        <w:rPr>
          <w:rFonts w:ascii="Arial" w:hAnsi="Arial" w:cs="Arial"/>
          <w:color w:val="auto"/>
          <w:sz w:val="24"/>
          <w:szCs w:val="24"/>
        </w:rPr>
        <w:t>,</w:t>
      </w:r>
      <w:r w:rsidRPr="002C36FF">
        <w:rPr>
          <w:rFonts w:ascii="Arial" w:hAnsi="Arial" w:cs="Arial"/>
          <w:color w:val="auto"/>
          <w:sz w:val="24"/>
          <w:szCs w:val="24"/>
        </w:rPr>
        <w:t xml:space="preserve"> dos de ellos aparecen fracturados y el central señalado, lo que evidencia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que la grieta amenaza con afectar a la estructura salvo que se produzca una intervención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inmediata en el muro.</w:t>
      </w:r>
    </w:p>
    <w:p w:rsidR="00CD285C" w:rsidRDefault="00CD285C" w:rsidP="002C36FF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2C36FF" w:rsidRPr="002C36FF" w:rsidRDefault="002C36FF" w:rsidP="002C36FF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2C36FF">
        <w:rPr>
          <w:rFonts w:ascii="Arial" w:hAnsi="Arial" w:cs="Arial"/>
          <w:color w:val="auto"/>
          <w:sz w:val="24"/>
          <w:szCs w:val="24"/>
        </w:rPr>
        <w:t>Por otro lado, como hemos denunciado en otras ocasiones, tanto el patio de armas como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algunas partes de la estructura aparecen llenos de maleza, hecho que evidencia el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incumplimiento por parte de Telefónica Móviles de sus obligaciones de mantenimiento del BIC.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Las antenas, que se ubican tanto en la cubierta del castillo que empezó a construirse en el siglo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XVIII como en la torre cilíndrica realizada por los ingleses en 1706, han sido denunciadas en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multitud de ocasiones. El artículo 38.1 de la Ley 4/2007, 16 de marzo prohíbe expresamente la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insta</w:t>
      </w:r>
      <w:r w:rsidR="007C5F47">
        <w:rPr>
          <w:rFonts w:ascii="Arial" w:hAnsi="Arial" w:cs="Arial"/>
          <w:color w:val="auto"/>
          <w:sz w:val="24"/>
          <w:szCs w:val="24"/>
        </w:rPr>
        <w:t>lación de éstas, por lo que el G</w:t>
      </w:r>
      <w:r w:rsidRPr="002C36FF">
        <w:rPr>
          <w:rFonts w:ascii="Arial" w:hAnsi="Arial" w:cs="Arial"/>
          <w:color w:val="auto"/>
          <w:sz w:val="24"/>
          <w:szCs w:val="24"/>
        </w:rPr>
        <w:t>obierno municipal de Cartagena se comprometió 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reunificarlas en octubre de 2020 fuera del monumento. Actuación que no ha realizado hasta la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fecha, tal y como se muestra en las fotografías adjuntas.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Además, el monumento carece de entorno de protección, cuestión que aún se encuentra</w:t>
      </w:r>
      <w:r w:rsidR="00CD285C">
        <w:rPr>
          <w:rFonts w:ascii="Arial" w:hAnsi="Arial" w:cs="Arial"/>
          <w:color w:val="auto"/>
          <w:sz w:val="24"/>
          <w:szCs w:val="24"/>
        </w:rPr>
        <w:t xml:space="preserve"> </w:t>
      </w:r>
      <w:r w:rsidRPr="002C36FF">
        <w:rPr>
          <w:rFonts w:ascii="Arial" w:hAnsi="Arial" w:cs="Arial"/>
          <w:color w:val="auto"/>
          <w:sz w:val="24"/>
          <w:szCs w:val="24"/>
        </w:rPr>
        <w:t>pendiente de resolución en el expediente DBC14/2016.</w:t>
      </w:r>
    </w:p>
    <w:p w:rsidR="004E1F8B" w:rsidRDefault="004E1F8B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D3B60" w:rsidRPr="004E1F8B" w:rsidRDefault="004E1F8B" w:rsidP="00B46D0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E1F8B">
        <w:rPr>
          <w:rFonts w:ascii="Arial" w:hAnsi="Arial" w:cs="Arial"/>
          <w:color w:val="auto"/>
          <w:sz w:val="24"/>
          <w:szCs w:val="24"/>
        </w:rPr>
        <w:t xml:space="preserve">Por </w:t>
      </w:r>
      <w:r w:rsidR="00CD285C">
        <w:rPr>
          <w:rFonts w:ascii="Arial" w:hAnsi="Arial" w:cs="Arial"/>
          <w:color w:val="auto"/>
          <w:sz w:val="24"/>
          <w:szCs w:val="24"/>
        </w:rPr>
        <w:t xml:space="preserve">todo </w:t>
      </w:r>
      <w:r w:rsidRPr="004E1F8B">
        <w:rPr>
          <w:rFonts w:ascii="Arial" w:hAnsi="Arial" w:cs="Arial"/>
          <w:color w:val="auto"/>
          <w:sz w:val="24"/>
          <w:szCs w:val="24"/>
        </w:rPr>
        <w:t>lo anteriormente expuesto</w:t>
      </w:r>
      <w:r w:rsidR="00CD285C">
        <w:rPr>
          <w:rFonts w:ascii="Arial" w:hAnsi="Arial" w:cs="Arial"/>
          <w:color w:val="auto"/>
          <w:sz w:val="24"/>
          <w:szCs w:val="24"/>
        </w:rPr>
        <w:t>,</w:t>
      </w:r>
      <w:r w:rsidRPr="004E1F8B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Pr="004E1F8B">
        <w:rPr>
          <w:rFonts w:ascii="Arial" w:hAnsi="Arial" w:cs="Arial"/>
          <w:color w:val="auto"/>
          <w:sz w:val="24"/>
          <w:szCs w:val="24"/>
        </w:rPr>
        <w:t>la</w:t>
      </w:r>
      <w:proofErr w:type="gramEnd"/>
      <w:r w:rsidRPr="004E1F8B">
        <w:rPr>
          <w:rFonts w:ascii="Arial" w:hAnsi="Arial" w:cs="Arial"/>
          <w:color w:val="auto"/>
          <w:sz w:val="24"/>
          <w:szCs w:val="24"/>
        </w:rPr>
        <w:t xml:space="preserve"> </w:t>
      </w:r>
      <w:r w:rsidR="00CD285C">
        <w:rPr>
          <w:rFonts w:ascii="Arial" w:hAnsi="Arial" w:cs="Arial"/>
          <w:color w:val="auto"/>
          <w:sz w:val="24"/>
          <w:szCs w:val="24"/>
        </w:rPr>
        <w:t>concejal que suscribe eleva al P</w:t>
      </w:r>
      <w:r w:rsidRPr="004E1F8B">
        <w:rPr>
          <w:rFonts w:ascii="Arial" w:hAnsi="Arial" w:cs="Arial"/>
          <w:color w:val="auto"/>
          <w:sz w:val="24"/>
          <w:szCs w:val="24"/>
        </w:rPr>
        <w:t>leno la siguiente</w:t>
      </w:r>
    </w:p>
    <w:p w:rsidR="00DD3B60" w:rsidRDefault="00DD3B60" w:rsidP="00B46D0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CD285C" w:rsidRDefault="00CD285C" w:rsidP="00B46D0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CD285C" w:rsidRPr="004E1F8B" w:rsidRDefault="00CD285C" w:rsidP="00B46D0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DD3B60" w:rsidRPr="004E1F8B" w:rsidRDefault="00DD3B60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D3B60" w:rsidRPr="004E1F8B" w:rsidRDefault="00B63E67" w:rsidP="007C5F47">
      <w:pPr>
        <w:jc w:val="center"/>
        <w:rPr>
          <w:rFonts w:ascii="Arial" w:hAnsi="Arial" w:cs="Arial"/>
          <w:b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lastRenderedPageBreak/>
        <w:t>MOCIÓN</w:t>
      </w:r>
    </w:p>
    <w:p w:rsidR="00B46D01" w:rsidRPr="00CD285C" w:rsidRDefault="00CD285C" w:rsidP="00CD285C">
      <w:pPr>
        <w:spacing w:after="0" w:line="240" w:lineRule="auto"/>
        <w:jc w:val="both"/>
        <w:textAlignment w:val="botto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el Pleno </w:t>
      </w:r>
      <w:r w:rsidR="007C5F47">
        <w:rPr>
          <w:rFonts w:ascii="Arial" w:hAnsi="Arial" w:cs="Arial"/>
          <w:sz w:val="24"/>
          <w:szCs w:val="24"/>
        </w:rPr>
        <w:t>municipal inste al Gobierno l</w:t>
      </w:r>
      <w:r w:rsidR="00DD3B60" w:rsidRPr="00CD285C">
        <w:rPr>
          <w:rFonts w:ascii="Arial" w:hAnsi="Arial" w:cs="Arial"/>
          <w:sz w:val="24"/>
          <w:szCs w:val="24"/>
        </w:rPr>
        <w:t xml:space="preserve">ocal a </w:t>
      </w:r>
      <w:r w:rsidR="004E1F8B" w:rsidRPr="00CD285C">
        <w:rPr>
          <w:rFonts w:ascii="Arial" w:hAnsi="Arial" w:cs="Arial"/>
          <w:sz w:val="24"/>
          <w:szCs w:val="24"/>
        </w:rPr>
        <w:t>q</w:t>
      </w:r>
      <w:r w:rsidR="004E1F8B" w:rsidRPr="00CD285C">
        <w:rPr>
          <w:rFonts w:ascii="Arial" w:eastAsia="Times New Roman" w:hAnsi="Arial" w:cs="Arial"/>
          <w:sz w:val="24"/>
          <w:szCs w:val="24"/>
          <w:lang w:eastAsia="es-ES"/>
        </w:rPr>
        <w:t>ue</w:t>
      </w:r>
      <w:r w:rsidR="002C36FF" w:rsidRPr="00CD285C">
        <w:rPr>
          <w:rFonts w:ascii="Arial" w:eastAsia="Times New Roman" w:hAnsi="Arial" w:cs="Arial"/>
          <w:sz w:val="24"/>
          <w:szCs w:val="24"/>
          <w:lang w:eastAsia="es-ES"/>
        </w:rPr>
        <w:t xml:space="preserve"> informe a la Dirección General de Bienes Culturales de estos hechos, impulse el expediente DBC 14/2016 y reunifique las antenas tal y como se comprometió a hacer en octubre de 2020. </w:t>
      </w:r>
      <w:r w:rsidR="004E1F8B" w:rsidRPr="00CD285C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:rsidR="00CD285C" w:rsidRDefault="00CD285C" w:rsidP="00CD285C">
      <w:pPr>
        <w:spacing w:after="0" w:line="240" w:lineRule="auto"/>
        <w:jc w:val="both"/>
        <w:textAlignment w:val="bottom"/>
        <w:rPr>
          <w:rFonts w:ascii="Arial" w:hAnsi="Arial" w:cs="Arial"/>
          <w:sz w:val="24"/>
          <w:szCs w:val="24"/>
        </w:rPr>
      </w:pPr>
    </w:p>
    <w:p w:rsidR="00CD285C" w:rsidRDefault="00CD285C" w:rsidP="00CD285C">
      <w:pPr>
        <w:spacing w:after="0" w:line="240" w:lineRule="auto"/>
        <w:jc w:val="both"/>
        <w:textAlignment w:val="bottom"/>
        <w:rPr>
          <w:rFonts w:ascii="Arial" w:hAnsi="Arial" w:cs="Arial"/>
          <w:sz w:val="24"/>
          <w:szCs w:val="24"/>
        </w:rPr>
      </w:pPr>
    </w:p>
    <w:p w:rsidR="00CD285C" w:rsidRPr="004E1F8B" w:rsidRDefault="00CD285C" w:rsidP="00CD285C">
      <w:pPr>
        <w:spacing w:after="0" w:line="240" w:lineRule="auto"/>
        <w:jc w:val="both"/>
        <w:textAlignment w:val="bottom"/>
        <w:rPr>
          <w:rFonts w:ascii="Arial" w:hAnsi="Arial" w:cs="Arial"/>
          <w:sz w:val="24"/>
          <w:szCs w:val="24"/>
        </w:rPr>
      </w:pPr>
    </w:p>
    <w:p w:rsidR="00A51A5D" w:rsidRPr="004E1F8B" w:rsidRDefault="002B77C2" w:rsidP="00CD285C">
      <w:pPr>
        <w:jc w:val="center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Cartagena</w:t>
      </w:r>
      <w:r w:rsidR="00CD285C">
        <w:rPr>
          <w:rFonts w:ascii="Arial" w:hAnsi="Arial" w:cs="Arial"/>
          <w:sz w:val="24"/>
          <w:szCs w:val="24"/>
        </w:rPr>
        <w:t>,</w:t>
      </w:r>
      <w:r w:rsidRPr="004E1F8B">
        <w:rPr>
          <w:rFonts w:ascii="Arial" w:hAnsi="Arial" w:cs="Arial"/>
          <w:sz w:val="24"/>
          <w:szCs w:val="24"/>
        </w:rPr>
        <w:t xml:space="preserve"> a</w:t>
      </w:r>
      <w:r w:rsidR="00DD3B60" w:rsidRPr="004E1F8B">
        <w:rPr>
          <w:rFonts w:ascii="Arial" w:hAnsi="Arial" w:cs="Arial"/>
          <w:sz w:val="24"/>
          <w:szCs w:val="24"/>
        </w:rPr>
        <w:t xml:space="preserve"> </w:t>
      </w:r>
      <w:r w:rsidR="00CD285C">
        <w:rPr>
          <w:rFonts w:ascii="Arial" w:hAnsi="Arial" w:cs="Arial"/>
          <w:sz w:val="24"/>
          <w:szCs w:val="24"/>
        </w:rPr>
        <w:t xml:space="preserve">8 </w:t>
      </w:r>
      <w:r w:rsidR="00DA6B13" w:rsidRPr="004E1F8B">
        <w:rPr>
          <w:rFonts w:ascii="Arial" w:hAnsi="Arial" w:cs="Arial"/>
          <w:sz w:val="24"/>
          <w:szCs w:val="24"/>
        </w:rPr>
        <w:t xml:space="preserve">de </w:t>
      </w:r>
      <w:r w:rsidR="002C36FF">
        <w:rPr>
          <w:rFonts w:ascii="Arial" w:hAnsi="Arial" w:cs="Arial"/>
          <w:sz w:val="24"/>
          <w:szCs w:val="24"/>
        </w:rPr>
        <w:t>enero de</w:t>
      </w:r>
      <w:r w:rsidR="00E04FC2" w:rsidRPr="004E1F8B">
        <w:rPr>
          <w:rFonts w:ascii="Arial" w:hAnsi="Arial" w:cs="Arial"/>
          <w:sz w:val="24"/>
          <w:szCs w:val="24"/>
        </w:rPr>
        <w:t xml:space="preserve"> 202</w:t>
      </w:r>
      <w:r w:rsidR="002C36FF">
        <w:rPr>
          <w:rFonts w:ascii="Arial" w:hAnsi="Arial" w:cs="Arial"/>
          <w:sz w:val="24"/>
          <w:szCs w:val="24"/>
        </w:rPr>
        <w:t>4</w:t>
      </w:r>
      <w:r w:rsidR="00CD285C">
        <w:rPr>
          <w:rFonts w:ascii="Arial" w:hAnsi="Arial" w:cs="Arial"/>
          <w:sz w:val="24"/>
          <w:szCs w:val="24"/>
        </w:rPr>
        <w:t>.</w:t>
      </w: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Fdo.</w:t>
      </w:r>
      <w:r w:rsidR="00DA6B13" w:rsidRPr="004E1F8B">
        <w:rPr>
          <w:rFonts w:ascii="Arial" w:hAnsi="Arial" w:cs="Arial"/>
          <w:sz w:val="24"/>
          <w:szCs w:val="24"/>
        </w:rPr>
        <w:t xml:space="preserve"> Jesús Giménez Gallo</w:t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="00CD285C">
        <w:rPr>
          <w:rFonts w:ascii="Arial" w:hAnsi="Arial" w:cs="Arial"/>
          <w:sz w:val="24"/>
          <w:szCs w:val="24"/>
        </w:rPr>
        <w:t xml:space="preserve">   </w:t>
      </w:r>
      <w:r w:rsidRPr="004E1F8B">
        <w:rPr>
          <w:rFonts w:ascii="Arial" w:hAnsi="Arial" w:cs="Arial"/>
          <w:sz w:val="24"/>
          <w:szCs w:val="24"/>
        </w:rPr>
        <w:t>Fdo. María Dolores Ruiz Álvarez</w:t>
      </w:r>
    </w:p>
    <w:p w:rsidR="00B46D01" w:rsidRPr="004E1F8B" w:rsidRDefault="007C5F47" w:rsidP="00B46D01">
      <w:pPr>
        <w:ind w:right="-56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Portavoz Grupo m</w:t>
      </w:r>
      <w:r w:rsidR="00B46D01" w:rsidRPr="004E1F8B">
        <w:rPr>
          <w:rFonts w:ascii="Arial" w:hAnsi="Arial" w:cs="Arial"/>
          <w:sz w:val="24"/>
          <w:szCs w:val="24"/>
        </w:rPr>
        <w:t xml:space="preserve">unicipal MC                   </w:t>
      </w:r>
      <w:r w:rsidR="00CD285C"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Concejal Grupo m</w:t>
      </w:r>
      <w:r w:rsidR="00B46D01" w:rsidRPr="004E1F8B">
        <w:rPr>
          <w:rFonts w:ascii="Arial" w:hAnsi="Arial" w:cs="Arial"/>
          <w:sz w:val="24"/>
          <w:szCs w:val="24"/>
        </w:rPr>
        <w:t>unicipal MC</w:t>
      </w: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CD285C">
      <w:pPr>
        <w:ind w:right="-568"/>
        <w:jc w:val="center"/>
        <w:rPr>
          <w:rFonts w:ascii="Arial" w:eastAsia="Arial" w:hAnsi="Arial" w:cs="Arial"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1E6DB9" w:rsidRPr="004E1F8B" w:rsidRDefault="001E6DB9" w:rsidP="00455DBC">
      <w:pPr>
        <w:jc w:val="both"/>
        <w:rPr>
          <w:rFonts w:ascii="Arial" w:hAnsi="Arial" w:cs="Arial"/>
          <w:sz w:val="24"/>
          <w:szCs w:val="24"/>
        </w:rPr>
      </w:pPr>
    </w:p>
    <w:p w:rsidR="00CD285C" w:rsidRDefault="00CD285C" w:rsidP="00455DBC">
      <w:pPr>
        <w:jc w:val="both"/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Pr="00CD285C" w:rsidRDefault="00CD285C" w:rsidP="00CD285C">
      <w:pPr>
        <w:rPr>
          <w:rFonts w:ascii="Arial" w:hAnsi="Arial" w:cs="Arial"/>
          <w:sz w:val="24"/>
          <w:szCs w:val="24"/>
        </w:rPr>
      </w:pPr>
    </w:p>
    <w:p w:rsidR="00CD285C" w:rsidRDefault="00CD285C" w:rsidP="00CD285C">
      <w:pPr>
        <w:rPr>
          <w:rFonts w:ascii="Arial" w:hAnsi="Arial" w:cs="Arial"/>
          <w:sz w:val="24"/>
          <w:szCs w:val="24"/>
        </w:rPr>
      </w:pPr>
    </w:p>
    <w:p w:rsidR="007C5F47" w:rsidRDefault="007C5F47" w:rsidP="00CD285C">
      <w:pPr>
        <w:rPr>
          <w:rFonts w:ascii="Arial" w:hAnsi="Arial" w:cs="Arial"/>
          <w:sz w:val="24"/>
          <w:szCs w:val="24"/>
        </w:rPr>
      </w:pPr>
    </w:p>
    <w:p w:rsidR="007C5F47" w:rsidRDefault="007C5F47" w:rsidP="00CD285C">
      <w:pPr>
        <w:rPr>
          <w:rFonts w:ascii="Arial" w:hAnsi="Arial" w:cs="Arial"/>
          <w:sz w:val="24"/>
          <w:szCs w:val="24"/>
        </w:rPr>
      </w:pPr>
    </w:p>
    <w:p w:rsidR="007C5F47" w:rsidRDefault="007C5F47" w:rsidP="00CD285C">
      <w:pPr>
        <w:rPr>
          <w:rFonts w:ascii="Arial" w:hAnsi="Arial" w:cs="Arial"/>
          <w:sz w:val="24"/>
          <w:szCs w:val="24"/>
        </w:rPr>
      </w:pPr>
    </w:p>
    <w:p w:rsidR="007C5F47" w:rsidRDefault="007C5F47" w:rsidP="00CD285C">
      <w:pPr>
        <w:rPr>
          <w:rFonts w:ascii="Arial" w:hAnsi="Arial" w:cs="Arial"/>
          <w:sz w:val="24"/>
          <w:szCs w:val="24"/>
        </w:rPr>
      </w:pPr>
    </w:p>
    <w:p w:rsidR="007C5F47" w:rsidRDefault="007C5F47" w:rsidP="00CD285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015FF" w:rsidRDefault="003015FF" w:rsidP="00CD285C">
      <w:pPr>
        <w:tabs>
          <w:tab w:val="left" w:pos="192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5493BC3F" wp14:editId="42A98F15">
            <wp:extent cx="5607389" cy="3152775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1-04-13-31-5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531" cy="315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5FF" w:rsidRDefault="00CD285C" w:rsidP="00CD285C">
      <w:pPr>
        <w:tabs>
          <w:tab w:val="left" w:pos="192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6CBEE1E0" wp14:editId="71EC3300">
            <wp:extent cx="3533775" cy="4711823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1-04-13-56-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2676" cy="471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5FF" w:rsidRDefault="00CD285C" w:rsidP="00CD285C">
      <w:pPr>
        <w:tabs>
          <w:tab w:val="left" w:pos="192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 wp14:anchorId="7292F0E8" wp14:editId="0A30F7B6">
            <wp:extent cx="2399191" cy="4267200"/>
            <wp:effectExtent l="0" t="0" r="127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1-04-13-31-2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293" cy="427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7C1" w:rsidRPr="00CD285C" w:rsidRDefault="00CD285C" w:rsidP="00CD285C">
      <w:pPr>
        <w:tabs>
          <w:tab w:val="left" w:pos="192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139BBC3D" wp14:editId="58912FB3">
            <wp:extent cx="6120130" cy="3441065"/>
            <wp:effectExtent l="0" t="0" r="0" b="6985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1-04-13-29-3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37C1" w:rsidRPr="00CD285C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2A6EE5"/>
    <w:multiLevelType w:val="hybridMultilevel"/>
    <w:tmpl w:val="A9303E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43A53"/>
    <w:multiLevelType w:val="hybridMultilevel"/>
    <w:tmpl w:val="6E2273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5D"/>
    <w:rsid w:val="00010171"/>
    <w:rsid w:val="0003560D"/>
    <w:rsid w:val="00052C1F"/>
    <w:rsid w:val="000C70DD"/>
    <w:rsid w:val="000E7DCB"/>
    <w:rsid w:val="000E7E5C"/>
    <w:rsid w:val="000F5E92"/>
    <w:rsid w:val="00112423"/>
    <w:rsid w:val="001345B2"/>
    <w:rsid w:val="00196A18"/>
    <w:rsid w:val="001A7070"/>
    <w:rsid w:val="001B10B2"/>
    <w:rsid w:val="001E6DB9"/>
    <w:rsid w:val="001F2ECA"/>
    <w:rsid w:val="002108A7"/>
    <w:rsid w:val="00213A71"/>
    <w:rsid w:val="00260FC1"/>
    <w:rsid w:val="002B77C2"/>
    <w:rsid w:val="002C36FF"/>
    <w:rsid w:val="002D37C8"/>
    <w:rsid w:val="002F3E0E"/>
    <w:rsid w:val="003015FF"/>
    <w:rsid w:val="003203C4"/>
    <w:rsid w:val="003637C1"/>
    <w:rsid w:val="003716B2"/>
    <w:rsid w:val="00386471"/>
    <w:rsid w:val="00387843"/>
    <w:rsid w:val="003C12F4"/>
    <w:rsid w:val="003C65BD"/>
    <w:rsid w:val="003D093A"/>
    <w:rsid w:val="004279AE"/>
    <w:rsid w:val="00447BC4"/>
    <w:rsid w:val="00455DBC"/>
    <w:rsid w:val="004825BD"/>
    <w:rsid w:val="004B6375"/>
    <w:rsid w:val="004C451E"/>
    <w:rsid w:val="004E1F8B"/>
    <w:rsid w:val="00547A21"/>
    <w:rsid w:val="00576529"/>
    <w:rsid w:val="0058129B"/>
    <w:rsid w:val="0059673D"/>
    <w:rsid w:val="005C34F2"/>
    <w:rsid w:val="00612C1A"/>
    <w:rsid w:val="00647AB1"/>
    <w:rsid w:val="006666A2"/>
    <w:rsid w:val="00681B70"/>
    <w:rsid w:val="006851B9"/>
    <w:rsid w:val="00690DE7"/>
    <w:rsid w:val="00700F6C"/>
    <w:rsid w:val="00716B6A"/>
    <w:rsid w:val="00726AE8"/>
    <w:rsid w:val="007863FE"/>
    <w:rsid w:val="00791C5A"/>
    <w:rsid w:val="00792DF4"/>
    <w:rsid w:val="0079415A"/>
    <w:rsid w:val="00794A0E"/>
    <w:rsid w:val="007C5F47"/>
    <w:rsid w:val="007D6D30"/>
    <w:rsid w:val="007F5EA0"/>
    <w:rsid w:val="00806912"/>
    <w:rsid w:val="00806D86"/>
    <w:rsid w:val="00812ED3"/>
    <w:rsid w:val="00874031"/>
    <w:rsid w:val="00885213"/>
    <w:rsid w:val="008965D7"/>
    <w:rsid w:val="008C22B1"/>
    <w:rsid w:val="00921AE4"/>
    <w:rsid w:val="009253EA"/>
    <w:rsid w:val="009275B7"/>
    <w:rsid w:val="00971155"/>
    <w:rsid w:val="00971FC2"/>
    <w:rsid w:val="009955D5"/>
    <w:rsid w:val="009B6FFF"/>
    <w:rsid w:val="00A02032"/>
    <w:rsid w:val="00A049FA"/>
    <w:rsid w:val="00A51A5D"/>
    <w:rsid w:val="00A8300B"/>
    <w:rsid w:val="00A92821"/>
    <w:rsid w:val="00AC53E1"/>
    <w:rsid w:val="00AD5E73"/>
    <w:rsid w:val="00AE0BFA"/>
    <w:rsid w:val="00AE4255"/>
    <w:rsid w:val="00AF61A8"/>
    <w:rsid w:val="00B15B9B"/>
    <w:rsid w:val="00B26B69"/>
    <w:rsid w:val="00B31337"/>
    <w:rsid w:val="00B46D01"/>
    <w:rsid w:val="00B5673D"/>
    <w:rsid w:val="00B63E67"/>
    <w:rsid w:val="00B711A0"/>
    <w:rsid w:val="00BA7050"/>
    <w:rsid w:val="00BC3E57"/>
    <w:rsid w:val="00C26048"/>
    <w:rsid w:val="00C47C43"/>
    <w:rsid w:val="00C51A89"/>
    <w:rsid w:val="00CA75DF"/>
    <w:rsid w:val="00CD285C"/>
    <w:rsid w:val="00CE53A3"/>
    <w:rsid w:val="00D26357"/>
    <w:rsid w:val="00D30FD3"/>
    <w:rsid w:val="00DA6B13"/>
    <w:rsid w:val="00DB1B3A"/>
    <w:rsid w:val="00DD3B60"/>
    <w:rsid w:val="00E04252"/>
    <w:rsid w:val="00E04FC2"/>
    <w:rsid w:val="00E107CE"/>
    <w:rsid w:val="00E347E5"/>
    <w:rsid w:val="00E5293D"/>
    <w:rsid w:val="00E73801"/>
    <w:rsid w:val="00EB44EA"/>
    <w:rsid w:val="00EC730F"/>
    <w:rsid w:val="00EE390C"/>
    <w:rsid w:val="00F04AF5"/>
    <w:rsid w:val="00F37341"/>
    <w:rsid w:val="00F91362"/>
    <w:rsid w:val="00FC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Sinespaciado">
    <w:name w:val="No Spacing"/>
    <w:uiPriority w:val="1"/>
    <w:qFormat/>
    <w:rsid w:val="00CD28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2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8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Sinespaciado">
    <w:name w:val="No Spacing"/>
    <w:uiPriority w:val="1"/>
    <w:qFormat/>
    <w:rsid w:val="00CD28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2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8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431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7</cp:revision>
  <dcterms:created xsi:type="dcterms:W3CDTF">2023-12-07T13:09:00Z</dcterms:created>
  <dcterms:modified xsi:type="dcterms:W3CDTF">2024-01-08T12:47:00Z</dcterms:modified>
</cp:coreProperties>
</file>